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B4" w:rsidRDefault="001E63B4" w:rsidP="001E63B4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Objective 3.1 Current service areas do not become unserved or underserved to a greater degree, and previously unserved consumers in North Carolina are served. At a minimum, the current level of funding for Centers for Independent Living is maintained, and funding increases are the optimum outcome.</w:t>
      </w:r>
    </w:p>
    <w:p w:rsidR="001E63B4" w:rsidRDefault="001E63B4" w:rsidP="001E63B4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Activities:</w:t>
      </w:r>
    </w:p>
    <w:p w:rsidR="001E63B4" w:rsidRDefault="001E63B4" w:rsidP="001E63B4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Annually, the Statewide Independent Living Council and the Centers for Independent Living facilitate a minimum of 8 meetings to educate legislators about Centers for Independent Living, and to advocate for state funding of the Centers for Independent Living of North Carolina.</w:t>
      </w:r>
    </w:p>
    <w:p w:rsidR="001E63B4" w:rsidRDefault="001E63B4" w:rsidP="001E63B4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Annually, the Statewide Independent Living Council maintains Title VII Part B funding levels for Part B and Part C Centers.</w:t>
      </w:r>
    </w:p>
    <w:p w:rsidR="001E63B4" w:rsidRDefault="001E63B4" w:rsidP="001E63B4">
      <w:pPr>
        <w:pStyle w:val="NormalWeb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 Annually, the Centers for Independent Living provide a minimum of 1,000 Information and Referrals. In addition, the Centers for Independent Living of North Carolina annually provide a minimum of 24 services each of advocacy, peer support and independent living skills.</w:t>
      </w:r>
    </w:p>
    <w:p w:rsidR="00DB7CA7" w:rsidRPr="001E63B4" w:rsidRDefault="001E63B4" w:rsidP="001E63B4">
      <w:r>
        <w:rPr>
          <w:color w:val="333333"/>
          <w:sz w:val="22"/>
          <w:szCs w:val="22"/>
        </w:rPr>
        <w:t>* Annually, the Statewide Independent Living Council coordinates Mental Health training for Centers for Independent Living staff and Statewide Independent Living Council members with key partners from mental health organizations.</w:t>
      </w:r>
      <w:bookmarkStart w:id="0" w:name="_GoBack"/>
      <w:bookmarkEnd w:id="0"/>
    </w:p>
    <w:sectPr w:rsidR="00DB7CA7" w:rsidRPr="001E6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E0"/>
    <w:rsid w:val="001E63B4"/>
    <w:rsid w:val="005D34E0"/>
    <w:rsid w:val="00D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4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34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Freida Moore</dc:creator>
  <cp:lastModifiedBy>Freida Moore</cp:lastModifiedBy>
  <cp:revision>2</cp:revision>
  <dcterms:created xsi:type="dcterms:W3CDTF">2016-11-17T15:50:00Z</dcterms:created>
  <dcterms:modified xsi:type="dcterms:W3CDTF">2016-11-17T15:50:00Z</dcterms:modified>
</cp:coreProperties>
</file>